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3518" w:type="dxa"/>
        <w:tblLook w:val="04A0" w:firstRow="1" w:lastRow="0" w:firstColumn="1" w:lastColumn="0" w:noHBand="0" w:noVBand="1"/>
      </w:tblPr>
      <w:tblGrid>
        <w:gridCol w:w="1458"/>
        <w:gridCol w:w="3060"/>
        <w:gridCol w:w="1620"/>
        <w:gridCol w:w="7380"/>
      </w:tblGrid>
      <w:tr w:rsidR="00D4493D" w:rsidTr="00130D16">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A321CE" w:rsidP="007E76DD">
            <w:pPr>
              <w:rPr>
                <w:rFonts w:cstheme="minorHAnsi"/>
              </w:rPr>
            </w:pPr>
            <w:r>
              <w:rPr>
                <w:rFonts w:cstheme="minorHAnsi"/>
              </w:rPr>
              <w:t>2016-2017</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7380" w:type="dxa"/>
          </w:tcPr>
          <w:p w:rsidR="00D4493D" w:rsidRPr="00B60605" w:rsidRDefault="007A71F0" w:rsidP="007E76DD">
            <w:pPr>
              <w:rPr>
                <w:rFonts w:cstheme="minorHAnsi"/>
              </w:rPr>
            </w:pPr>
            <w:r>
              <w:rPr>
                <w:rFonts w:cstheme="minorHAnsi"/>
              </w:rPr>
              <w:t>Maria Clinton</w:t>
            </w:r>
            <w:r w:rsidR="00296D6F">
              <w:rPr>
                <w:rFonts w:cstheme="minorHAnsi"/>
              </w:rPr>
              <w:t>, MA</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7A71F0" w:rsidP="007E76DD">
            <w:pPr>
              <w:rPr>
                <w:rFonts w:cstheme="minorHAnsi"/>
              </w:rPr>
            </w:pPr>
            <w:r>
              <w:rPr>
                <w:rFonts w:cstheme="minorHAnsi"/>
              </w:rPr>
              <w:t>Room 112</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7380" w:type="dxa"/>
          </w:tcPr>
          <w:p w:rsidR="007A71F0" w:rsidRPr="00B60605" w:rsidRDefault="002B634C" w:rsidP="007E76DD">
            <w:pPr>
              <w:rPr>
                <w:rFonts w:cstheme="minorHAnsi"/>
              </w:rPr>
            </w:pPr>
            <w:hyperlink r:id="rId8" w:history="1">
              <w:r w:rsidR="007A71F0" w:rsidRPr="00D8271E">
                <w:rPr>
                  <w:rStyle w:val="Hyperlink"/>
                  <w:rFonts w:cstheme="minorHAnsi"/>
                </w:rPr>
                <w:t>www.englishrocksus.weebly.com</w:t>
              </w:r>
            </w:hyperlink>
            <w:r w:rsidR="00A321CE">
              <w:rPr>
                <w:rFonts w:cstheme="minorHAnsi"/>
              </w:rPr>
              <w:t xml:space="preserve"> </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7A71F0" w:rsidP="007E76DD">
            <w:pPr>
              <w:rPr>
                <w:rFonts w:cstheme="minorHAnsi"/>
              </w:rPr>
            </w:pPr>
            <w:r>
              <w:rPr>
                <w:rFonts w:cstheme="minorHAnsi"/>
              </w:rPr>
              <w:t>(720) 972-4600 ext. 2700</w:t>
            </w:r>
          </w:p>
        </w:tc>
        <w:tc>
          <w:tcPr>
            <w:tcW w:w="1620" w:type="dxa"/>
            <w:vMerge w:val="restart"/>
            <w:shd w:val="clear" w:color="auto" w:fill="D9D9D9" w:themeFill="background1" w:themeFillShade="D9"/>
          </w:tcPr>
          <w:p w:rsidR="00D4493D" w:rsidRPr="00773B08" w:rsidRDefault="00D4493D" w:rsidP="007E76DD">
            <w:pPr>
              <w:rPr>
                <w:b/>
                <w:sz w:val="20"/>
                <w:szCs w:val="20"/>
              </w:rPr>
            </w:pPr>
          </w:p>
        </w:tc>
        <w:tc>
          <w:tcPr>
            <w:tcW w:w="7380" w:type="dxa"/>
            <w:vMerge w:val="restart"/>
          </w:tcPr>
          <w:p w:rsidR="00D4493D" w:rsidRPr="00B60605" w:rsidRDefault="00D4493D" w:rsidP="007E76DD">
            <w:pPr>
              <w:rPr>
                <w:rFonts w:cstheme="minorHAnsi"/>
              </w:rPr>
            </w:pPr>
          </w:p>
        </w:tc>
      </w:tr>
      <w:tr w:rsidR="00D4493D" w:rsidTr="00130D16">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B60605" w:rsidRDefault="007A71F0" w:rsidP="007E76DD">
            <w:pPr>
              <w:rPr>
                <w:rFonts w:cstheme="minorHAnsi"/>
              </w:rPr>
            </w:pPr>
            <w:r>
              <w:rPr>
                <w:rFonts w:cstheme="minorHAnsi"/>
              </w:rPr>
              <w:t>Maria.S.Clinton@adams12.org</w:t>
            </w:r>
          </w:p>
        </w:tc>
        <w:tc>
          <w:tcPr>
            <w:tcW w:w="1620" w:type="dxa"/>
            <w:vMerge/>
            <w:shd w:val="clear" w:color="auto" w:fill="D9D9D9" w:themeFill="background1" w:themeFillShade="D9"/>
          </w:tcPr>
          <w:p w:rsidR="00D4493D" w:rsidRDefault="00D4493D" w:rsidP="007E76DD">
            <w:pPr>
              <w:rPr>
                <w:rFonts w:cstheme="minorHAnsi"/>
              </w:rPr>
            </w:pPr>
          </w:p>
        </w:tc>
        <w:tc>
          <w:tcPr>
            <w:tcW w:w="7380" w:type="dxa"/>
            <w:vMerge/>
          </w:tcPr>
          <w:p w:rsidR="00D4493D" w:rsidRPr="00B60605" w:rsidRDefault="00D4493D" w:rsidP="007E76DD">
            <w:pPr>
              <w:rPr>
                <w:rFonts w:cstheme="minorHAnsi"/>
              </w:rPr>
            </w:pPr>
          </w:p>
        </w:tc>
      </w:tr>
    </w:tbl>
    <w:p w:rsidR="00D4493D" w:rsidRDefault="00D4493D" w:rsidP="003372A6"/>
    <w:tbl>
      <w:tblPr>
        <w:tblStyle w:val="TableGrid"/>
        <w:tblpPr w:leftFromText="180" w:rightFromText="180" w:vertAnchor="page" w:horzAnchor="margin" w:tblpY="3491"/>
        <w:tblW w:w="0" w:type="auto"/>
        <w:tblLayout w:type="fixed"/>
        <w:tblLook w:val="04A0" w:firstRow="1" w:lastRow="0" w:firstColumn="1" w:lastColumn="0" w:noHBand="0" w:noVBand="1"/>
      </w:tblPr>
      <w:tblGrid>
        <w:gridCol w:w="1760"/>
        <w:gridCol w:w="1412"/>
        <w:gridCol w:w="6206"/>
        <w:gridCol w:w="2340"/>
        <w:gridCol w:w="1800"/>
      </w:tblGrid>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Name</w:t>
            </w:r>
          </w:p>
        </w:tc>
        <w:tc>
          <w:tcPr>
            <w:tcW w:w="11758" w:type="dxa"/>
            <w:gridSpan w:val="4"/>
            <w:tcBorders>
              <w:top w:val="single" w:sz="4" w:space="0" w:color="auto"/>
              <w:left w:val="single" w:sz="4" w:space="0" w:color="auto"/>
              <w:bottom w:val="single" w:sz="4" w:space="0" w:color="auto"/>
              <w:right w:val="single" w:sz="4" w:space="0" w:color="auto"/>
            </w:tcBorders>
          </w:tcPr>
          <w:p w:rsidR="00130D16" w:rsidRPr="00031188" w:rsidRDefault="002B634C" w:rsidP="00130D16">
            <w:pPr>
              <w:rPr>
                <w:b/>
              </w:rPr>
            </w:pPr>
            <w:r>
              <w:rPr>
                <w:b/>
              </w:rPr>
              <w:t xml:space="preserve">CP </w:t>
            </w:r>
            <w:bookmarkStart w:id="0" w:name="_GoBack"/>
            <w:bookmarkEnd w:id="0"/>
            <w:r w:rsidR="00130D16" w:rsidRPr="00031188">
              <w:rPr>
                <w:b/>
              </w:rPr>
              <w:t>English 9 Literature and Composition</w:t>
            </w:r>
          </w:p>
        </w:tc>
      </w:tr>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Description</w:t>
            </w:r>
          </w:p>
        </w:tc>
        <w:tc>
          <w:tcPr>
            <w:tcW w:w="11758" w:type="dxa"/>
            <w:gridSpan w:val="4"/>
            <w:tcBorders>
              <w:top w:val="single" w:sz="4" w:space="0" w:color="auto"/>
              <w:left w:val="single" w:sz="4" w:space="0" w:color="auto"/>
              <w:bottom w:val="single" w:sz="4" w:space="0" w:color="auto"/>
              <w:right w:val="single" w:sz="4" w:space="0" w:color="auto"/>
            </w:tcBorders>
          </w:tcPr>
          <w:p w:rsidR="00130D16" w:rsidRDefault="00130D16" w:rsidP="00130D16">
            <w:r w:rsidRPr="00031188">
              <w:rPr>
                <w:sz w:val="20"/>
              </w:rPr>
              <w:t>In this course, students will explore their own cultural identities as well as the cultural identities of people from around the world through the study of literature both within and outside of the United States. They will also understand how experiences and cultural expectations shape attitudes. Students will solve problems, analyze language, and provide supporting evidence in order to communicate clearly in both writing and speaking. This course builds upon students’ prior knowledge of grammar, vocabulary, word usage, and the mechanics of writing and usually includes the four aspects of language reading, writing, speaking, and listening. Typically, this class introduces and defines various genres of literature; writing exercises are often linked to reading selections.</w:t>
            </w:r>
          </w:p>
        </w:tc>
      </w:tr>
      <w:tr w:rsidR="009A7762" w:rsidTr="009A7762">
        <w:tc>
          <w:tcPr>
            <w:tcW w:w="176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Approximate Timeline of Unit</w:t>
            </w:r>
          </w:p>
        </w:tc>
        <w:tc>
          <w:tcPr>
            <w:tcW w:w="6206"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Primary Text(s) with Descriptions from Amazon.com and notation of mature content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Text(s) support students with the following assessments: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Targeted Date of Assessment</w:t>
            </w:r>
          </w:p>
        </w:tc>
      </w:tr>
      <w:tr w:rsidR="00B74CB9" w:rsidRPr="00910D90" w:rsidTr="009A7762">
        <w:tc>
          <w:tcPr>
            <w:tcW w:w="1760" w:type="dxa"/>
            <w:tcBorders>
              <w:top w:val="single" w:sz="4" w:space="0" w:color="auto"/>
              <w:left w:val="single" w:sz="4" w:space="0" w:color="auto"/>
              <w:bottom w:val="single" w:sz="4" w:space="0" w:color="auto"/>
              <w:right w:val="single" w:sz="4" w:space="0" w:color="auto"/>
            </w:tcBorders>
            <w:vAlign w:val="center"/>
          </w:tcPr>
          <w:p w:rsidR="00B74CB9" w:rsidRDefault="00B74CB9" w:rsidP="00130D16">
            <w:r>
              <w:t>Transformational and Informational Literature</w:t>
            </w:r>
          </w:p>
        </w:tc>
        <w:tc>
          <w:tcPr>
            <w:tcW w:w="1412" w:type="dxa"/>
            <w:tcBorders>
              <w:top w:val="single" w:sz="4" w:space="0" w:color="auto"/>
              <w:left w:val="single" w:sz="4" w:space="0" w:color="auto"/>
              <w:bottom w:val="single" w:sz="4" w:space="0" w:color="auto"/>
              <w:right w:val="single" w:sz="4" w:space="0" w:color="auto"/>
            </w:tcBorders>
            <w:vAlign w:val="center"/>
          </w:tcPr>
          <w:p w:rsidR="00B74CB9" w:rsidRDefault="00B74CB9" w:rsidP="00130D16">
            <w:r>
              <w:t>8 weeks</w:t>
            </w:r>
          </w:p>
        </w:tc>
        <w:tc>
          <w:tcPr>
            <w:tcW w:w="6206" w:type="dxa"/>
            <w:tcBorders>
              <w:top w:val="single" w:sz="4" w:space="0" w:color="auto"/>
              <w:left w:val="single" w:sz="4" w:space="0" w:color="auto"/>
              <w:bottom w:val="single" w:sz="4" w:space="0" w:color="auto"/>
              <w:right w:val="single" w:sz="4" w:space="0" w:color="auto"/>
            </w:tcBorders>
            <w:vAlign w:val="center"/>
          </w:tcPr>
          <w:p w:rsidR="00B74CB9" w:rsidRPr="00B74CB9" w:rsidRDefault="00B74CB9" w:rsidP="00130D16">
            <w:pPr>
              <w:rPr>
                <w:sz w:val="20"/>
              </w:rPr>
            </w:pPr>
            <w:r>
              <w:t>Students will read excerpts from a variety of nonfiction and literary texts.  Teachers may also opt to teach an additional novel from the list used for “The Narrative Experience” Unit of Study.</w:t>
            </w:r>
          </w:p>
        </w:tc>
        <w:tc>
          <w:tcPr>
            <w:tcW w:w="2340" w:type="dxa"/>
            <w:tcBorders>
              <w:top w:val="single" w:sz="4" w:space="0" w:color="auto"/>
              <w:left w:val="single" w:sz="4" w:space="0" w:color="auto"/>
              <w:bottom w:val="single" w:sz="4" w:space="0" w:color="auto"/>
              <w:right w:val="single" w:sz="4" w:space="0" w:color="auto"/>
            </w:tcBorders>
            <w:vAlign w:val="center"/>
          </w:tcPr>
          <w:p w:rsidR="00B74CB9" w:rsidRPr="00870C94" w:rsidRDefault="00B74CB9" w:rsidP="00870C94">
            <w:pPr>
              <w:pStyle w:val="ListParagraph"/>
              <w:numPr>
                <w:ilvl w:val="0"/>
                <w:numId w:val="4"/>
              </w:numPr>
              <w:ind w:left="522"/>
              <w:rPr>
                <w:rFonts w:cstheme="minorHAnsi"/>
              </w:rPr>
            </w:pPr>
            <w:r>
              <w:rPr>
                <w:rFonts w:cstheme="minorHAnsi"/>
              </w:rPr>
              <w:t>Informational writing, editing, publishing</w:t>
            </w:r>
          </w:p>
        </w:tc>
        <w:tc>
          <w:tcPr>
            <w:tcW w:w="1800" w:type="dxa"/>
            <w:tcBorders>
              <w:top w:val="single" w:sz="4" w:space="0" w:color="auto"/>
              <w:left w:val="single" w:sz="4" w:space="0" w:color="auto"/>
              <w:bottom w:val="single" w:sz="4" w:space="0" w:color="auto"/>
              <w:right w:val="single" w:sz="4" w:space="0" w:color="auto"/>
            </w:tcBorders>
            <w:vAlign w:val="center"/>
          </w:tcPr>
          <w:p w:rsidR="00B74CB9" w:rsidRDefault="00CE0630" w:rsidP="00130D16">
            <w:r>
              <w:t>Middle</w:t>
            </w:r>
            <w:r w:rsidR="00B74CB9">
              <w:t xml:space="preserve"> of October, 2015</w:t>
            </w:r>
          </w:p>
        </w:tc>
      </w:tr>
      <w:tr w:rsidR="009A7762" w:rsidRPr="00910D90" w:rsidTr="009A7762">
        <w:tc>
          <w:tcPr>
            <w:tcW w:w="1760"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Narrative Experience</w:t>
            </w:r>
          </w:p>
        </w:tc>
        <w:tc>
          <w:tcPr>
            <w:tcW w:w="1412"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5 weeks</w:t>
            </w:r>
          </w:p>
        </w:tc>
        <w:tc>
          <w:tcPr>
            <w:tcW w:w="6206" w:type="dxa"/>
            <w:tcBorders>
              <w:top w:val="single" w:sz="4" w:space="0" w:color="auto"/>
              <w:left w:val="single" w:sz="4" w:space="0" w:color="auto"/>
              <w:bottom w:val="single" w:sz="4" w:space="0" w:color="auto"/>
              <w:right w:val="single" w:sz="4" w:space="0" w:color="auto"/>
            </w:tcBorders>
            <w:vAlign w:val="center"/>
          </w:tcPr>
          <w:p w:rsidR="009A7762" w:rsidRPr="00DA571E" w:rsidRDefault="009A7762" w:rsidP="00130D16">
            <w:pPr>
              <w:rPr>
                <w:b/>
                <w:i/>
                <w:sz w:val="20"/>
              </w:rPr>
            </w:pPr>
            <w:r w:rsidRPr="00DA571E">
              <w:rPr>
                <w:b/>
                <w:i/>
                <w:sz w:val="20"/>
              </w:rPr>
              <w:t>The classroom teacher will determine which of the following books will be used for this unit:</w:t>
            </w:r>
          </w:p>
          <w:p w:rsidR="009A7762" w:rsidRDefault="009A7762" w:rsidP="00130D16">
            <w:pPr>
              <w:rPr>
                <w:b/>
                <w:i/>
              </w:rPr>
            </w:pPr>
          </w:p>
          <w:p w:rsidR="00130D16" w:rsidRPr="00910D90" w:rsidRDefault="00130D16" w:rsidP="00130D16">
            <w:r w:rsidRPr="00130D16">
              <w:rPr>
                <w:b/>
                <w:i/>
              </w:rPr>
              <w:t>Of Mice and Men</w:t>
            </w:r>
            <w:r w:rsidRPr="00910D90">
              <w:t>:</w:t>
            </w:r>
          </w:p>
          <w:p w:rsidR="00130D16" w:rsidRPr="00130D16" w:rsidRDefault="00130D16" w:rsidP="00130D16">
            <w:pPr>
              <w:rPr>
                <w:rFonts w:ascii="Calibri" w:hAnsi="Calibri"/>
                <w:sz w:val="18"/>
                <w:szCs w:val="18"/>
              </w:rPr>
            </w:pPr>
            <w:r w:rsidRPr="00130D16">
              <w:rPr>
                <w:rFonts w:ascii="Calibri" w:hAnsi="Calibri"/>
                <w:sz w:val="18"/>
                <w:szCs w:val="18"/>
              </w:rPr>
              <w:t xml:space="preserve">Over seventy-five years since its first publication, Steinbeck’s tale of commitment, loneliness, hope, and loss remains one of America’s most widely read and taught novels. An unlikely pair, George and Lennie, two migrant workers in California during the Great Depression, grasp for their American Dream. They hustle work when they can, living a hand-to-mouth existence. For George and Lennie have a plan: to own an acre of land and a shack they can call their own. When they land jobs on a ranch in the Salinas Valley, the fulfillment of their dream seems to be within their grasp. But even George cannot guard Lennie from the provocations, nor predict the consequences of Lennie's unswerving obedience to the things George taught him. </w:t>
            </w:r>
            <w:r w:rsidRPr="00130D16">
              <w:rPr>
                <w:rFonts w:ascii="Calibri" w:hAnsi="Calibri"/>
                <w:sz w:val="18"/>
                <w:szCs w:val="18"/>
              </w:rPr>
              <w:br/>
            </w:r>
          </w:p>
          <w:p w:rsidR="00130D16" w:rsidRPr="00130D16" w:rsidRDefault="00130D16" w:rsidP="00130D16">
            <w:pPr>
              <w:rPr>
                <w:sz w:val="18"/>
                <w:szCs w:val="18"/>
              </w:rPr>
            </w:pPr>
            <w:r w:rsidRPr="009A7762">
              <w:rPr>
                <w:rFonts w:ascii="Calibri" w:hAnsi="Calibri"/>
                <w:i/>
                <w:sz w:val="18"/>
                <w:szCs w:val="18"/>
              </w:rPr>
              <w:t>Of Mice and Men</w:t>
            </w:r>
            <w:r w:rsidRPr="00130D16">
              <w:rPr>
                <w:rFonts w:ascii="Calibri" w:hAnsi="Calibri"/>
                <w:sz w:val="18"/>
                <w:szCs w:val="18"/>
              </w:rPr>
              <w:t xml:space="preserve"> represents an experiment in form, which Steinbeck described as “a kind of playable novel, written in a novel form but so </w:t>
            </w:r>
            <w:proofErr w:type="spellStart"/>
            <w:r w:rsidRPr="00130D16">
              <w:rPr>
                <w:rFonts w:ascii="Calibri" w:hAnsi="Calibri"/>
                <w:sz w:val="18"/>
                <w:szCs w:val="18"/>
              </w:rPr>
              <w:t>scened</w:t>
            </w:r>
            <w:proofErr w:type="spellEnd"/>
            <w:r w:rsidRPr="00130D16">
              <w:rPr>
                <w:rFonts w:ascii="Calibri" w:hAnsi="Calibri"/>
                <w:sz w:val="18"/>
                <w:szCs w:val="18"/>
              </w:rPr>
              <w:t xml:space="preserve"> and set that it can </w:t>
            </w:r>
            <w:r w:rsidRPr="00130D16">
              <w:rPr>
                <w:rFonts w:ascii="Calibri" w:hAnsi="Calibri"/>
                <w:sz w:val="18"/>
                <w:szCs w:val="18"/>
              </w:rPr>
              <w:lastRenderedPageBreak/>
              <w:t>be played as it stands.” A rarity in American letters, it achieved remarkable success as a novel, a Broadway play, and three acclaimed films. (Sexual Content, Profanity, Violence)</w:t>
            </w:r>
          </w:p>
          <w:p w:rsidR="00130D16" w:rsidRPr="00910D90" w:rsidRDefault="00130D16" w:rsidP="00130D16"/>
        </w:tc>
        <w:tc>
          <w:tcPr>
            <w:tcW w:w="2340" w:type="dxa"/>
            <w:tcBorders>
              <w:top w:val="single" w:sz="4" w:space="0" w:color="auto"/>
              <w:left w:val="single" w:sz="4" w:space="0" w:color="auto"/>
              <w:bottom w:val="single" w:sz="4" w:space="0" w:color="auto"/>
              <w:right w:val="single" w:sz="4" w:space="0" w:color="auto"/>
            </w:tcBorders>
            <w:vAlign w:val="center"/>
          </w:tcPr>
          <w:p w:rsidR="00130D16" w:rsidRPr="00870C94" w:rsidRDefault="00870C94" w:rsidP="00870C94">
            <w:pPr>
              <w:pStyle w:val="ListParagraph"/>
              <w:numPr>
                <w:ilvl w:val="0"/>
                <w:numId w:val="4"/>
              </w:numPr>
              <w:ind w:left="522"/>
              <w:rPr>
                <w:rFonts w:cstheme="minorHAnsi"/>
              </w:rPr>
            </w:pPr>
            <w:r w:rsidRPr="00870C94">
              <w:rPr>
                <w:rFonts w:cstheme="minorHAnsi"/>
              </w:rPr>
              <w:lastRenderedPageBreak/>
              <w:t>Text-based discussions</w:t>
            </w:r>
          </w:p>
          <w:p w:rsidR="00870C94" w:rsidRDefault="00870C94" w:rsidP="00870C94">
            <w:pPr>
              <w:pStyle w:val="ListParagraph"/>
              <w:ind w:left="522" w:hanging="360"/>
              <w:rPr>
                <w:rFonts w:cstheme="minorHAnsi"/>
              </w:rPr>
            </w:pPr>
          </w:p>
          <w:p w:rsidR="00870C94" w:rsidRPr="00870C94" w:rsidRDefault="00870C94" w:rsidP="00870C94">
            <w:pPr>
              <w:pStyle w:val="ListParagraph"/>
              <w:numPr>
                <w:ilvl w:val="0"/>
                <w:numId w:val="4"/>
              </w:numPr>
              <w:ind w:left="522"/>
              <w:rPr>
                <w:rFonts w:cstheme="minorHAnsi"/>
              </w:rPr>
            </w:pPr>
            <w:r w:rsidRPr="00870C94">
              <w:rPr>
                <w:rFonts w:cstheme="minorHAnsi"/>
              </w:rPr>
              <w:t>Writing a narrative</w:t>
            </w:r>
          </w:p>
        </w:tc>
        <w:tc>
          <w:tcPr>
            <w:tcW w:w="1800" w:type="dxa"/>
            <w:tcBorders>
              <w:top w:val="single" w:sz="4" w:space="0" w:color="auto"/>
              <w:left w:val="single" w:sz="4" w:space="0" w:color="auto"/>
              <w:bottom w:val="single" w:sz="4" w:space="0" w:color="auto"/>
              <w:right w:val="single" w:sz="4" w:space="0" w:color="auto"/>
            </w:tcBorders>
            <w:vAlign w:val="center"/>
          </w:tcPr>
          <w:p w:rsidR="00130D16" w:rsidRPr="00910D90" w:rsidRDefault="00870C94" w:rsidP="00CE0630">
            <w:r>
              <w:t xml:space="preserve">End of </w:t>
            </w:r>
            <w:r w:rsidR="00CE0630">
              <w:t>November</w:t>
            </w:r>
            <w:r w:rsidR="00B74CB9">
              <w:t>, 2015</w:t>
            </w:r>
          </w:p>
        </w:tc>
      </w:tr>
    </w:tbl>
    <w:p w:rsidR="00910D90" w:rsidRDefault="00130D16">
      <w:r>
        <w:t xml:space="preserve"> </w:t>
      </w:r>
    </w:p>
    <w:tbl>
      <w:tblPr>
        <w:tblStyle w:val="TableGrid"/>
        <w:tblW w:w="0" w:type="auto"/>
        <w:tblLook w:val="04A0" w:firstRow="1" w:lastRow="0" w:firstColumn="1" w:lastColumn="0" w:noHBand="0" w:noVBand="1"/>
      </w:tblPr>
      <w:tblGrid>
        <w:gridCol w:w="1745"/>
        <w:gridCol w:w="1423"/>
        <w:gridCol w:w="6059"/>
        <w:gridCol w:w="2296"/>
        <w:gridCol w:w="1787"/>
      </w:tblGrid>
      <w:tr w:rsidR="00910D90" w:rsidTr="00130D16">
        <w:tc>
          <w:tcPr>
            <w:tcW w:w="1760" w:type="dxa"/>
          </w:tcPr>
          <w:p w:rsidR="00910D90" w:rsidRDefault="00130D16" w:rsidP="001D02DE">
            <w:r>
              <w:t>The Narrative Experience (</w:t>
            </w:r>
            <w:proofErr w:type="spellStart"/>
            <w:r>
              <w:t>con’t</w:t>
            </w:r>
            <w:proofErr w:type="spellEnd"/>
            <w:r>
              <w:t>)</w:t>
            </w:r>
          </w:p>
        </w:tc>
        <w:tc>
          <w:tcPr>
            <w:tcW w:w="1440" w:type="dxa"/>
          </w:tcPr>
          <w:p w:rsidR="00910D90" w:rsidRDefault="00130D16" w:rsidP="001D02DE">
            <w:r>
              <w:t>5 weeks</w:t>
            </w:r>
          </w:p>
        </w:tc>
        <w:tc>
          <w:tcPr>
            <w:tcW w:w="6178" w:type="dxa"/>
          </w:tcPr>
          <w:p w:rsidR="00130D16" w:rsidRDefault="00130D16" w:rsidP="001D02DE">
            <w:pPr>
              <w:rPr>
                <w:sz w:val="18"/>
                <w:szCs w:val="18"/>
              </w:rPr>
            </w:pPr>
            <w:r w:rsidRPr="00130D16">
              <w:rPr>
                <w:b/>
                <w:i/>
              </w:rPr>
              <w:t>Persepolis</w:t>
            </w:r>
            <w:r w:rsidRPr="00130D16">
              <w:rPr>
                <w:sz w:val="18"/>
                <w:szCs w:val="18"/>
              </w:rPr>
              <w:t xml:space="preserve">: </w:t>
            </w:r>
          </w:p>
          <w:p w:rsidR="00130D16" w:rsidRPr="00130D16" w:rsidRDefault="00130D16" w:rsidP="001D02DE">
            <w:pPr>
              <w:rPr>
                <w:color w:val="000000"/>
                <w:sz w:val="18"/>
                <w:szCs w:val="18"/>
              </w:rPr>
            </w:pPr>
            <w:r w:rsidRPr="00130D16">
              <w:rPr>
                <w:color w:val="000000"/>
                <w:sz w:val="18"/>
                <w:szCs w:val="18"/>
              </w:rPr>
              <w:t xml:space="preserve">Wise, funny, and heartbreaking, </w:t>
            </w:r>
            <w:r w:rsidRPr="009A7762">
              <w:rPr>
                <w:i/>
                <w:color w:val="000000"/>
                <w:sz w:val="18"/>
                <w:szCs w:val="18"/>
              </w:rPr>
              <w:t>Persepolis</w:t>
            </w:r>
            <w:r w:rsidRPr="00130D16">
              <w:rPr>
                <w:color w:val="000000"/>
                <w:sz w:val="18"/>
                <w:szCs w:val="18"/>
              </w:rPr>
              <w:t xml:space="preserve"> is </w:t>
            </w:r>
            <w:proofErr w:type="spellStart"/>
            <w:r w:rsidRPr="00130D16">
              <w:rPr>
                <w:color w:val="000000"/>
                <w:sz w:val="18"/>
                <w:szCs w:val="18"/>
              </w:rPr>
              <w:t>Marjane</w:t>
            </w:r>
            <w:proofErr w:type="spellEnd"/>
            <w:r w:rsidRPr="00130D16">
              <w:rPr>
                <w:color w:val="000000"/>
                <w:sz w:val="18"/>
                <w:szCs w:val="18"/>
              </w:rPr>
              <w:t xml:space="preserve"> </w:t>
            </w:r>
            <w:proofErr w:type="spellStart"/>
            <w:r w:rsidRPr="00130D16">
              <w:rPr>
                <w:color w:val="000000"/>
                <w:sz w:val="18"/>
                <w:szCs w:val="18"/>
              </w:rPr>
              <w:t>Satrapi’s</w:t>
            </w:r>
            <w:proofErr w:type="spellEnd"/>
            <w:r w:rsidRPr="00130D16">
              <w:rPr>
                <w:color w:val="000000"/>
                <w:sz w:val="18"/>
                <w:szCs w:val="18"/>
              </w:rPr>
              <w:t xml:space="preserve"> memoir of growing up in Iran during the Islamic Revolution. In powerful black-and-white comic strip images, </w:t>
            </w:r>
            <w:proofErr w:type="spellStart"/>
            <w:r w:rsidRPr="00130D16">
              <w:rPr>
                <w:color w:val="000000"/>
                <w:sz w:val="18"/>
                <w:szCs w:val="18"/>
              </w:rPr>
              <w:t>Satrapi</w:t>
            </w:r>
            <w:proofErr w:type="spellEnd"/>
            <w:r w:rsidRPr="00130D16">
              <w:rPr>
                <w:color w:val="000000"/>
                <w:sz w:val="18"/>
                <w:szCs w:val="18"/>
              </w:rPr>
              <w:t xml:space="preserve">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w:t>
            </w:r>
            <w:proofErr w:type="spellStart"/>
            <w:r w:rsidRPr="00130D16">
              <w:rPr>
                <w:color w:val="000000"/>
                <w:sz w:val="18"/>
                <w:szCs w:val="18"/>
              </w:rPr>
              <w:t>Marjane</w:t>
            </w:r>
            <w:proofErr w:type="spellEnd"/>
            <w:r w:rsidRPr="00130D16">
              <w:rPr>
                <w:color w:val="000000"/>
                <w:sz w:val="18"/>
                <w:szCs w:val="18"/>
              </w:rPr>
              <w:t xml:space="preserve"> bears witness to a childhood uniquely entwined with the history of her country.</w:t>
            </w:r>
            <w:r w:rsidRPr="00130D16">
              <w:rPr>
                <w:color w:val="000000"/>
                <w:sz w:val="18"/>
                <w:szCs w:val="18"/>
              </w:rPr>
              <w:br/>
            </w:r>
          </w:p>
          <w:p w:rsidR="00910D90" w:rsidRPr="00130D16" w:rsidRDefault="00130D16" w:rsidP="001D02DE">
            <w:pPr>
              <w:rPr>
                <w:color w:val="000000"/>
                <w:sz w:val="18"/>
                <w:szCs w:val="18"/>
              </w:rPr>
            </w:pPr>
            <w:r w:rsidRPr="009A7762">
              <w:rPr>
                <w:i/>
                <w:color w:val="000000"/>
                <w:sz w:val="18"/>
                <w:szCs w:val="18"/>
              </w:rPr>
              <w:t>Persepolis</w:t>
            </w:r>
            <w:r w:rsidRPr="00130D16">
              <w:rPr>
                <w:color w:val="000000"/>
                <w:sz w:val="18"/>
                <w:szCs w:val="18"/>
              </w:rPr>
              <w:t xml:space="preserve"> paints an unforgettable portrait of daily life in Iran and of the bewildering contradictions between home life and public life. </w:t>
            </w:r>
            <w:proofErr w:type="spellStart"/>
            <w:r w:rsidRPr="00130D16">
              <w:rPr>
                <w:color w:val="000000"/>
                <w:sz w:val="18"/>
                <w:szCs w:val="18"/>
              </w:rPr>
              <w:t>Marjane’s</w:t>
            </w:r>
            <w:proofErr w:type="spellEnd"/>
            <w:r w:rsidRPr="00130D16">
              <w:rPr>
                <w:color w:val="000000"/>
                <w:sz w:val="18"/>
                <w:szCs w:val="18"/>
              </w:rPr>
              <w:t xml:space="preserve"> child’s-eye view of dethroned emperors, state-sanctioned whippings, and heroes of the revolution allows us to learn as she does the history of this fascinating country and of her own extraordinary family. Intensely personal, profoundly political, and wholly original, </w:t>
            </w:r>
            <w:r w:rsidRPr="009A7762">
              <w:rPr>
                <w:i/>
                <w:color w:val="000000"/>
                <w:sz w:val="18"/>
                <w:szCs w:val="18"/>
              </w:rPr>
              <w:t>Persepolis</w:t>
            </w:r>
            <w:r w:rsidRPr="00130D16">
              <w:rPr>
                <w:color w:val="000000"/>
                <w:sz w:val="18"/>
                <w:szCs w:val="18"/>
              </w:rPr>
              <w:t xml:space="preserve"> is at once a story of growing up and a reminder of the human cost of war and political repression. It shows how we carry on, with laughter and tears, in the face of absurdity. And, finally, it introduces us to an irresistible little girl with whom we cannot help but fall in love. (Sexual Content, Profanity, Violence)</w:t>
            </w:r>
          </w:p>
          <w:p w:rsidR="00130D16" w:rsidRDefault="00130D16" w:rsidP="001D02DE">
            <w:pPr>
              <w:rPr>
                <w:rFonts w:ascii="Calibri" w:hAnsi="Calibri"/>
                <w:color w:val="000000"/>
                <w:sz w:val="18"/>
                <w:szCs w:val="18"/>
              </w:rPr>
            </w:pPr>
          </w:p>
          <w:p w:rsidR="00130D16" w:rsidRDefault="00130D16" w:rsidP="001D02DE">
            <w:pPr>
              <w:rPr>
                <w:rFonts w:ascii="Calibri" w:hAnsi="Calibri"/>
                <w:b/>
                <w:i/>
                <w:color w:val="000000"/>
                <w:szCs w:val="18"/>
              </w:rPr>
            </w:pPr>
            <w:r w:rsidRPr="00130D16">
              <w:rPr>
                <w:rFonts w:ascii="Calibri" w:hAnsi="Calibri"/>
                <w:b/>
                <w:i/>
                <w:color w:val="000000"/>
                <w:szCs w:val="18"/>
              </w:rPr>
              <w:t>To Kill a Mockingbird:</w:t>
            </w:r>
          </w:p>
          <w:p w:rsidR="00130D16" w:rsidRDefault="00130D16" w:rsidP="001D02DE">
            <w:pPr>
              <w:rPr>
                <w:rFonts w:ascii="Calibri" w:hAnsi="Calibri"/>
                <w:color w:val="000000"/>
                <w:sz w:val="18"/>
                <w:szCs w:val="18"/>
              </w:rPr>
            </w:pPr>
            <w:r w:rsidRPr="00130D16">
              <w:rPr>
                <w:rFonts w:ascii="Calibri" w:hAnsi="Calibri"/>
                <w:color w:val="000000"/>
                <w:sz w:val="18"/>
                <w:szCs w:val="18"/>
              </w:rPr>
              <w:t>Harper Lee's Pulitzer prize-winning masterwork of honor and injustice in the deep south—and the heroism of one man in the face of blind and violent hatred, available now for the first time as an e-book.</w:t>
            </w:r>
            <w:r w:rsidR="009A7762">
              <w:rPr>
                <w:rFonts w:ascii="Calibri" w:hAnsi="Calibri"/>
                <w:color w:val="000000"/>
                <w:sz w:val="18"/>
                <w:szCs w:val="18"/>
              </w:rPr>
              <w:t xml:space="preserve">  </w:t>
            </w:r>
            <w:r w:rsidRPr="00130D16">
              <w:rPr>
                <w:rFonts w:ascii="Calibri" w:hAnsi="Calibri"/>
                <w:color w:val="000000"/>
                <w:sz w:val="18"/>
                <w:szCs w:val="18"/>
              </w:rPr>
              <w:t xml:space="preserve">One of the best-loved stories of all time, </w:t>
            </w:r>
            <w:r w:rsidRPr="009A7762">
              <w:rPr>
                <w:rFonts w:ascii="Calibri" w:hAnsi="Calibri"/>
                <w:i/>
                <w:color w:val="000000"/>
                <w:sz w:val="18"/>
                <w:szCs w:val="18"/>
              </w:rPr>
              <w:t>To Kill a Mockingbird</w:t>
            </w:r>
            <w:r w:rsidRPr="00130D16">
              <w:rPr>
                <w:rFonts w:ascii="Calibri" w:hAnsi="Calibri"/>
                <w:color w:val="000000"/>
                <w:sz w:val="18"/>
                <w:szCs w:val="18"/>
              </w:rPr>
              <w:t xml:space="preserve"> has been translated into more than forty languages, sold more than thirty million copies worldwide, served as the basis for an enormously popular motion picture, and was voted one of the best novels of the twentieth century by librarians across the country. A gripping, heart-wrenching, and wholly remarkable tale of coming-of-age in a South poisoned by virulent prejudice, it views a world of great beauty and savage inequities through the eyes of a young girl, as her father-a crusading local lawyer-risks everything to defend a black man unjustly accused of a terrible crime. (Sexual Content, Profanity, Violence)</w:t>
            </w:r>
          </w:p>
          <w:p w:rsidR="00130D16" w:rsidRDefault="00130D16" w:rsidP="001D02DE">
            <w:pPr>
              <w:rPr>
                <w:rFonts w:ascii="Calibri" w:hAnsi="Calibri"/>
                <w:color w:val="000000"/>
                <w:sz w:val="18"/>
                <w:szCs w:val="18"/>
              </w:rPr>
            </w:pPr>
          </w:p>
          <w:p w:rsidR="00CE0630" w:rsidRDefault="00CE0630" w:rsidP="001D02DE">
            <w:pPr>
              <w:rPr>
                <w:rFonts w:ascii="Calibri" w:hAnsi="Calibri"/>
                <w:b/>
                <w:i/>
                <w:color w:val="000000"/>
              </w:rPr>
            </w:pPr>
          </w:p>
          <w:p w:rsidR="00B74CB9" w:rsidRDefault="00B74CB9" w:rsidP="001D02DE">
            <w:pPr>
              <w:rPr>
                <w:rFonts w:ascii="Calibri" w:hAnsi="Calibri"/>
                <w:b/>
                <w:i/>
                <w:color w:val="000000"/>
              </w:rPr>
            </w:pPr>
            <w:r>
              <w:rPr>
                <w:rFonts w:ascii="Calibri" w:hAnsi="Calibri"/>
                <w:b/>
                <w:i/>
                <w:color w:val="000000"/>
              </w:rPr>
              <w:lastRenderedPageBreak/>
              <w:t>Animal Farm:</w:t>
            </w:r>
          </w:p>
          <w:p w:rsidR="00B74CB9" w:rsidRPr="00CE0630" w:rsidRDefault="00B74CB9" w:rsidP="001D02DE">
            <w:pPr>
              <w:rPr>
                <w:rFonts w:ascii="Calibri" w:hAnsi="Calibri"/>
                <w:color w:val="000000"/>
                <w:sz w:val="18"/>
                <w:szCs w:val="18"/>
              </w:rPr>
            </w:pPr>
          </w:p>
          <w:p w:rsidR="00130D16" w:rsidRPr="00130D16" w:rsidRDefault="00CE0630" w:rsidP="00CE0630">
            <w:pPr>
              <w:rPr>
                <w:sz w:val="18"/>
                <w:szCs w:val="18"/>
              </w:rPr>
            </w:pPr>
            <w:r w:rsidRPr="00CE0630">
              <w:rPr>
                <w:rFonts w:ascii="Calibri" w:hAnsi="Calibri"/>
                <w:color w:val="000000"/>
                <w:sz w:val="18"/>
                <w:szCs w:val="18"/>
              </w:rPr>
              <w:t>As ferociously fresh as it was more than a half century ago, this remarkable allegory of a downtrodden society of overworked, mistreated animals and their quest to create a paradise of progress, justice, and equality is one of the most scathing satires ever published. As readers witness the rise and bloody fall of the revolutionary animals, they begin to recognize the seeds of totalitarianism in the most idealistic organization—and in the most charismatic leaders, the souls of the cruelest oppressors. (Violence)</w:t>
            </w:r>
          </w:p>
        </w:tc>
        <w:tc>
          <w:tcPr>
            <w:tcW w:w="2340"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c>
          <w:tcPr>
            <w:tcW w:w="1818"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r>
      <w:tr w:rsidR="00130D16" w:rsidTr="00130D16">
        <w:tc>
          <w:tcPr>
            <w:tcW w:w="1760" w:type="dxa"/>
          </w:tcPr>
          <w:p w:rsidR="00130D16" w:rsidRDefault="00130D16" w:rsidP="001D02DE">
            <w:r>
              <w:t>The Narrative Experience (</w:t>
            </w:r>
            <w:proofErr w:type="spellStart"/>
            <w:r>
              <w:t>con’t</w:t>
            </w:r>
            <w:proofErr w:type="spellEnd"/>
            <w:r>
              <w:t>)</w:t>
            </w:r>
          </w:p>
        </w:tc>
        <w:tc>
          <w:tcPr>
            <w:tcW w:w="1440" w:type="dxa"/>
          </w:tcPr>
          <w:p w:rsidR="00130D16" w:rsidRDefault="00130D16" w:rsidP="001D02DE">
            <w:r>
              <w:t>5 weeks</w:t>
            </w:r>
          </w:p>
        </w:tc>
        <w:tc>
          <w:tcPr>
            <w:tcW w:w="6178" w:type="dxa"/>
          </w:tcPr>
          <w:p w:rsidR="00130D16" w:rsidRPr="00130D16" w:rsidRDefault="00130D16" w:rsidP="001D02DE">
            <w:pPr>
              <w:rPr>
                <w:b/>
                <w:i/>
              </w:rPr>
            </w:pPr>
            <w:r w:rsidRPr="00130D16">
              <w:rPr>
                <w:b/>
                <w:i/>
              </w:rPr>
              <w:t>Ender’s Game:</w:t>
            </w:r>
          </w:p>
          <w:p w:rsidR="00130D16" w:rsidRDefault="00130D16" w:rsidP="001D02DE">
            <w:pPr>
              <w:rPr>
                <w:rFonts w:ascii="Calibri" w:hAnsi="Calibri"/>
                <w:color w:val="000000"/>
                <w:sz w:val="18"/>
                <w:szCs w:val="18"/>
              </w:rPr>
            </w:pPr>
            <w:r w:rsidRPr="00130D16">
              <w:rPr>
                <w:rFonts w:ascii="Calibri" w:hAnsi="Calibri"/>
                <w:color w:val="000000"/>
                <w:sz w:val="18"/>
                <w:szCs w:val="18"/>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the world survives, that is. (Profanity, Violence)</w:t>
            </w:r>
          </w:p>
          <w:p w:rsidR="00130D16" w:rsidRDefault="00130D16" w:rsidP="001D02DE">
            <w:pPr>
              <w:rPr>
                <w:rFonts w:ascii="Calibri" w:hAnsi="Calibri"/>
                <w:color w:val="000000"/>
                <w:sz w:val="18"/>
                <w:szCs w:val="18"/>
              </w:rPr>
            </w:pPr>
          </w:p>
          <w:p w:rsidR="00130D16" w:rsidRPr="009A7762" w:rsidRDefault="00130D16" w:rsidP="001D02DE">
            <w:pPr>
              <w:rPr>
                <w:b/>
                <w:i/>
                <w:sz w:val="17"/>
                <w:szCs w:val="17"/>
              </w:rPr>
            </w:pPr>
          </w:p>
        </w:tc>
        <w:tc>
          <w:tcPr>
            <w:tcW w:w="2340"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c>
          <w:tcPr>
            <w:tcW w:w="1818"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r>
    </w:tbl>
    <w:tbl>
      <w:tblPr>
        <w:tblStyle w:val="TableGrid"/>
        <w:tblpPr w:leftFromText="180" w:rightFromText="180" w:vertAnchor="page" w:horzAnchor="margin" w:tblpY="1881"/>
        <w:tblW w:w="0" w:type="auto"/>
        <w:tblLook w:val="04A0" w:firstRow="1" w:lastRow="0" w:firstColumn="1" w:lastColumn="0" w:noHBand="0" w:noVBand="1"/>
      </w:tblPr>
      <w:tblGrid>
        <w:gridCol w:w="1737"/>
        <w:gridCol w:w="1494"/>
        <w:gridCol w:w="5915"/>
        <w:gridCol w:w="2387"/>
        <w:gridCol w:w="1777"/>
      </w:tblGrid>
      <w:tr w:rsidR="00D46F70" w:rsidRPr="00910D90" w:rsidTr="00D46F70">
        <w:tc>
          <w:tcPr>
            <w:tcW w:w="1760"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Pr>
                <w:b/>
              </w:rPr>
              <w:lastRenderedPageBreak/>
              <w:t>Unit of Study</w:t>
            </w:r>
          </w:p>
        </w:tc>
        <w:tc>
          <w:tcPr>
            <w:tcW w:w="1497"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Approximate Timeline of Unit</w:t>
            </w:r>
          </w:p>
        </w:tc>
        <w:tc>
          <w:tcPr>
            <w:tcW w:w="6082"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Primary Text(s) with Descriptions from Amazon.com and notation of mature content</w:t>
            </w:r>
          </w:p>
        </w:tc>
        <w:tc>
          <w:tcPr>
            <w:tcW w:w="2401"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Text(s) support students with the following assessments:</w:t>
            </w:r>
          </w:p>
        </w:tc>
        <w:tc>
          <w:tcPr>
            <w:tcW w:w="1796"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Targeted Date of Assessment</w:t>
            </w:r>
          </w:p>
        </w:tc>
      </w:tr>
      <w:tr w:rsidR="00D46F70" w:rsidRPr="00910D90" w:rsidTr="00D46F70">
        <w:trPr>
          <w:trHeight w:val="2233"/>
        </w:trPr>
        <w:tc>
          <w:tcPr>
            <w:tcW w:w="1760"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Rhetorical Analysis and Argument</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Pr="00910D90" w:rsidRDefault="00D46F70" w:rsidP="00D46F70">
            <w:r w:rsidRPr="00910D90">
              <w:t>Students will read excerpts from a variety of informational and narrative nonfiction texts.</w:t>
            </w:r>
          </w:p>
        </w:tc>
        <w:tc>
          <w:tcPr>
            <w:tcW w:w="2401" w:type="dxa"/>
            <w:tcBorders>
              <w:top w:val="single" w:sz="4" w:space="0" w:color="auto"/>
              <w:left w:val="single" w:sz="4" w:space="0" w:color="auto"/>
              <w:bottom w:val="single" w:sz="4" w:space="0" w:color="auto"/>
              <w:right w:val="single" w:sz="4" w:space="0" w:color="auto"/>
            </w:tcBorders>
            <w:vAlign w:val="center"/>
          </w:tcPr>
          <w:p w:rsidR="00D46F70" w:rsidRPr="00D46F70" w:rsidRDefault="00D46F70" w:rsidP="00D46F70">
            <w:pPr>
              <w:pStyle w:val="ListParagraph"/>
              <w:numPr>
                <w:ilvl w:val="0"/>
                <w:numId w:val="5"/>
              </w:numPr>
              <w:ind w:left="606" w:hanging="242"/>
              <w:rPr>
                <w:rFonts w:cstheme="minorHAnsi"/>
                <w:sz w:val="20"/>
                <w:szCs w:val="20"/>
              </w:rPr>
            </w:pPr>
            <w:r>
              <w:rPr>
                <w:rFonts w:cstheme="minorHAnsi"/>
                <w:sz w:val="20"/>
                <w:szCs w:val="20"/>
              </w:rPr>
              <w:t>Writing a rhetorical analysis of a persuasive text</w:t>
            </w:r>
          </w:p>
          <w:p w:rsidR="00D46F70" w:rsidRPr="00910D90" w:rsidRDefault="00D46F70" w:rsidP="00D46F70">
            <w:pPr>
              <w:pStyle w:val="ListParagraph"/>
              <w:numPr>
                <w:ilvl w:val="0"/>
                <w:numId w:val="5"/>
              </w:numPr>
              <w:ind w:left="606" w:hanging="242"/>
              <w:rPr>
                <w:rFonts w:cstheme="minorHAnsi"/>
                <w:sz w:val="20"/>
                <w:szCs w:val="20"/>
              </w:rPr>
            </w:pPr>
            <w:r>
              <w:rPr>
                <w:rFonts w:cstheme="minorHAnsi"/>
                <w:sz w:val="20"/>
                <w:szCs w:val="20"/>
              </w:rPr>
              <w:t>Argumentative speech or presentation including research</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CE0630" w:rsidP="00D46F70">
            <w:pPr>
              <w:rPr>
                <w:sz w:val="20"/>
              </w:rPr>
            </w:pPr>
            <w:r>
              <w:rPr>
                <w:sz w:val="20"/>
              </w:rPr>
              <w:t>End of February 2016</w:t>
            </w:r>
          </w:p>
        </w:tc>
      </w:tr>
      <w:tr w:rsidR="00D46F70" w:rsidRPr="00910D90" w:rsidTr="00D46F70">
        <w:tc>
          <w:tcPr>
            <w:tcW w:w="1760"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Analyzing Point of View</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Students will read excerpts from a variety of literary texts as well as a Shakespearean play.</w:t>
            </w:r>
          </w:p>
          <w:p w:rsidR="00D46F70" w:rsidRPr="009A7762" w:rsidRDefault="00D46F70" w:rsidP="00D46F70"/>
        </w:tc>
        <w:tc>
          <w:tcPr>
            <w:tcW w:w="2401" w:type="dxa"/>
            <w:tcBorders>
              <w:top w:val="single" w:sz="4" w:space="0" w:color="auto"/>
              <w:left w:val="single" w:sz="4" w:space="0" w:color="auto"/>
              <w:bottom w:val="single" w:sz="4" w:space="0" w:color="auto"/>
              <w:right w:val="single" w:sz="4" w:space="0" w:color="auto"/>
            </w:tcBorders>
            <w:vAlign w:val="center"/>
          </w:tcPr>
          <w:p w:rsidR="00D46F70" w:rsidRDefault="00D46F70" w:rsidP="00D46F70">
            <w:pPr>
              <w:pStyle w:val="ListParagraph"/>
              <w:ind w:left="335"/>
              <w:rPr>
                <w:rFonts w:cstheme="minorHAnsi"/>
                <w:sz w:val="20"/>
                <w:szCs w:val="20"/>
              </w:rPr>
            </w:pP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Text-based discussions</w:t>
            </w: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Literary Analysis of an Author’s Perspective</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CE0630" w:rsidP="00D46F70">
            <w:pPr>
              <w:rPr>
                <w:sz w:val="20"/>
              </w:rPr>
            </w:pPr>
            <w:r>
              <w:rPr>
                <w:sz w:val="20"/>
              </w:rPr>
              <w:t>End of May 2016</w:t>
            </w:r>
          </w:p>
        </w:tc>
      </w:tr>
    </w:tbl>
    <w:p w:rsidR="00D46F70" w:rsidRPr="00B0089B" w:rsidRDefault="00D46F70">
      <w:pPr>
        <w:rPr>
          <w:b/>
        </w:rPr>
      </w:pPr>
    </w:p>
    <w:p w:rsidR="00D46F70" w:rsidRPr="00B0089B" w:rsidRDefault="00D46F70" w:rsidP="00D46F70">
      <w:pPr>
        <w:spacing w:after="200" w:line="276" w:lineRule="auto"/>
        <w:rPr>
          <w:rFonts w:cstheme="minorHAnsi"/>
          <w:b/>
        </w:rPr>
      </w:pPr>
      <w:r w:rsidRPr="00B0089B">
        <w:rPr>
          <w:rFonts w:cstheme="minorHAns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p w:rsidR="007F1B9D" w:rsidRDefault="007F1B9D" w:rsidP="00D46F70">
      <w:pPr>
        <w:rPr>
          <w:b/>
        </w:rPr>
      </w:pPr>
    </w:p>
    <w:p w:rsidR="007F1B9D" w:rsidRPr="007F1B9D" w:rsidRDefault="007F1B9D" w:rsidP="007F1B9D">
      <w:pPr>
        <w:shd w:val="clear" w:color="auto" w:fill="FFFFFF"/>
        <w:rPr>
          <w:rFonts w:ascii="Arial" w:eastAsia="Times New Roman" w:hAnsi="Arial" w:cs="Arial"/>
          <w:color w:val="222222"/>
          <w:sz w:val="19"/>
          <w:szCs w:val="19"/>
        </w:rPr>
      </w:pPr>
      <w:r w:rsidRPr="007F1B9D">
        <w:rPr>
          <w:rFonts w:ascii="Arial" w:eastAsia="Times New Roman" w:hAnsi="Arial" w:cs="Arial"/>
          <w:b/>
          <w:bCs/>
          <w:color w:val="222222"/>
          <w:sz w:val="19"/>
          <w:szCs w:val="19"/>
        </w:rPr>
        <w:t>For additional information regarding primary texts in alignment with Superintendent Policy 6230, the links below are intended to provide families with multiple perspectives</w:t>
      </w:r>
    </w:p>
    <w:p w:rsidR="007F1B9D" w:rsidRPr="007F1B9D" w:rsidRDefault="007F1B9D" w:rsidP="007F1B9D">
      <w:pPr>
        <w:shd w:val="clear" w:color="auto" w:fill="FFFFFF"/>
        <w:rPr>
          <w:rFonts w:ascii="Arial" w:eastAsia="Times New Roman" w:hAnsi="Arial" w:cs="Arial"/>
          <w:color w:val="222222"/>
          <w:sz w:val="19"/>
          <w:szCs w:val="19"/>
        </w:rPr>
      </w:pPr>
      <w:r w:rsidRPr="007F1B9D">
        <w:rPr>
          <w:rFonts w:ascii="Arial" w:eastAsia="Times New Roman" w:hAnsi="Arial" w:cs="Arial"/>
          <w:i/>
          <w:iCs/>
          <w:color w:val="222222"/>
          <w:sz w:val="19"/>
          <w:szCs w:val="19"/>
        </w:rPr>
        <w:t>(The opinions and views expressed at or through these websites are the opinions of the designated authors and do not necessarily reflect the opinions or views of the classroom teacher.)</w:t>
      </w:r>
    </w:p>
    <w:p w:rsidR="007F1B9D" w:rsidRDefault="007F1B9D" w:rsidP="00D46F70">
      <w:pPr>
        <w:rPr>
          <w:b/>
        </w:rPr>
      </w:pPr>
    </w:p>
    <w:p w:rsidR="00D46F70" w:rsidRPr="006B0CF1" w:rsidRDefault="00D46F70" w:rsidP="00D46F70">
      <w:pPr>
        <w:rPr>
          <w:b/>
        </w:rPr>
      </w:pPr>
      <w:r w:rsidRPr="006B0CF1">
        <w:rPr>
          <w:b/>
        </w:rPr>
        <w:t>For additional information rega</w:t>
      </w:r>
      <w:r>
        <w:rPr>
          <w:b/>
        </w:rPr>
        <w:t>rding primary texts please visit:</w:t>
      </w:r>
    </w:p>
    <w:p w:rsidR="00D46F70" w:rsidRPr="00B51C71" w:rsidRDefault="00D46F70" w:rsidP="00D46F70">
      <w:pPr>
        <w:pStyle w:val="ListParagraph"/>
        <w:numPr>
          <w:ilvl w:val="0"/>
          <w:numId w:val="2"/>
        </w:numPr>
      </w:pPr>
      <w:r w:rsidRPr="00B51C71">
        <w:t xml:space="preserve">Amazon book reviews: </w:t>
      </w:r>
      <w:hyperlink r:id="rId9" w:history="1">
        <w:r w:rsidRPr="00B51C71">
          <w:rPr>
            <w:rStyle w:val="Hyperlink"/>
          </w:rPr>
          <w:t>www.amazon.com</w:t>
        </w:r>
      </w:hyperlink>
    </w:p>
    <w:p w:rsidR="00D46F70" w:rsidRPr="00B51C71" w:rsidRDefault="00D46F70" w:rsidP="00D46F70">
      <w:pPr>
        <w:pStyle w:val="ListParagraph"/>
        <w:numPr>
          <w:ilvl w:val="0"/>
          <w:numId w:val="2"/>
        </w:numPr>
        <w:rPr>
          <w:u w:val="single"/>
        </w:rPr>
      </w:pPr>
      <w:r w:rsidRPr="00B51C71">
        <w:t xml:space="preserve">Goodreads.com:  </w:t>
      </w:r>
      <w:hyperlink r:id="rId10" w:history="1">
        <w:r w:rsidRPr="00B51C71">
          <w:rPr>
            <w:rStyle w:val="Hyperlink"/>
          </w:rPr>
          <w:t>www.goodreads.com</w:t>
        </w:r>
      </w:hyperlink>
    </w:p>
    <w:p w:rsidR="00D46F70" w:rsidRPr="00B51C71" w:rsidRDefault="00D46F70" w:rsidP="00D46F70">
      <w:pPr>
        <w:pStyle w:val="ListParagraph"/>
        <w:numPr>
          <w:ilvl w:val="0"/>
          <w:numId w:val="2"/>
        </w:numPr>
        <w:rPr>
          <w:u w:val="single"/>
        </w:rPr>
      </w:pPr>
      <w:r w:rsidRPr="00B51C71">
        <w:t xml:space="preserve">Common Sense Media: </w:t>
      </w:r>
      <w:r w:rsidR="007A71F0">
        <w:t>www.commonsensemedia.org</w:t>
      </w:r>
    </w:p>
    <w:p w:rsidR="00D46F70" w:rsidRPr="00B51C71" w:rsidRDefault="00D46F70" w:rsidP="00D46F70">
      <w:pPr>
        <w:pStyle w:val="ListParagraph"/>
        <w:numPr>
          <w:ilvl w:val="0"/>
          <w:numId w:val="2"/>
        </w:numPr>
        <w:rPr>
          <w:u w:val="single"/>
        </w:rPr>
      </w:pPr>
      <w:r>
        <w:lastRenderedPageBreak/>
        <w:t xml:space="preserve">Thriving Family--A Focus on the Family publication: </w:t>
      </w:r>
      <w:hyperlink r:id="rId11" w:history="1">
        <w:r w:rsidRPr="006C0F86">
          <w:rPr>
            <w:rStyle w:val="Hyperlink"/>
          </w:rPr>
          <w:t>www.thrivingfamily.com/family/Media.aspx</w:t>
        </w:r>
      </w:hyperlink>
      <w:r w:rsidRPr="00B51C71">
        <w:t xml:space="preserve"> </w:t>
      </w:r>
    </w:p>
    <w:p w:rsidR="00D46F70" w:rsidRDefault="00D46F70" w:rsidP="00D46F70">
      <w:r>
        <w:t xml:space="preserve">  </w:t>
      </w:r>
    </w:p>
    <w:p w:rsidR="000D7727" w:rsidRDefault="000D7727"/>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3345" w:type="dxa"/>
        <w:tblLayout w:type="fixed"/>
        <w:tblCellMar>
          <w:left w:w="115" w:type="dxa"/>
          <w:right w:w="115" w:type="dxa"/>
        </w:tblCellMar>
        <w:tblLook w:val="04A0" w:firstRow="1" w:lastRow="0" w:firstColumn="1" w:lastColumn="0" w:noHBand="0" w:noVBand="1"/>
      </w:tblPr>
      <w:tblGrid>
        <w:gridCol w:w="13345"/>
      </w:tblGrid>
      <w:tr w:rsidR="0048208A" w:rsidRPr="00A5101C" w:rsidTr="007A71F0">
        <w:trPr>
          <w:trHeight w:val="215"/>
        </w:trPr>
        <w:tc>
          <w:tcPr>
            <w:tcW w:w="1334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7A71F0">
        <w:trPr>
          <w:trHeight w:val="215"/>
        </w:trPr>
        <w:tc>
          <w:tcPr>
            <w:tcW w:w="13345" w:type="dxa"/>
            <w:shd w:val="clear" w:color="auto" w:fill="auto"/>
          </w:tcPr>
          <w:p w:rsidR="0048208A" w:rsidRPr="003C51E9" w:rsidRDefault="0048208A" w:rsidP="001C3533">
            <w:pPr>
              <w:rPr>
                <w:rFonts w:cstheme="minorHAnsi"/>
                <w:sz w:val="20"/>
                <w:szCs w:val="20"/>
              </w:rPr>
            </w:pPr>
          </w:p>
        </w:tc>
      </w:tr>
      <w:tr w:rsidR="0048208A" w:rsidRPr="00BA3244" w:rsidTr="007A71F0">
        <w:trPr>
          <w:trHeight w:val="440"/>
        </w:trPr>
        <w:tc>
          <w:tcPr>
            <w:tcW w:w="1334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7A71F0">
        <w:tc>
          <w:tcPr>
            <w:tcW w:w="13345" w:type="dxa"/>
            <w:tcBorders>
              <w:bottom w:val="single" w:sz="4" w:space="0" w:color="auto"/>
            </w:tcBorders>
          </w:tcPr>
          <w:p w:rsidR="0048208A" w:rsidRPr="00D7735A" w:rsidRDefault="0048208A" w:rsidP="001C3533">
            <w:pPr>
              <w:rPr>
                <w:rFonts w:ascii="Times New Roman" w:hAnsi="Times New Roman" w:cs="Times New Roman"/>
                <w:sz w:val="20"/>
                <w:szCs w:val="20"/>
              </w:rPr>
            </w:pPr>
          </w:p>
        </w:tc>
      </w:tr>
      <w:tr w:rsidR="0048208A" w:rsidRPr="00A5101C" w:rsidTr="007A71F0">
        <w:tc>
          <w:tcPr>
            <w:tcW w:w="1334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7A71F0">
        <w:tc>
          <w:tcPr>
            <w:tcW w:w="13345" w:type="dxa"/>
            <w:shd w:val="clear" w:color="auto" w:fill="auto"/>
          </w:tcPr>
          <w:p w:rsidR="007A71F0" w:rsidRPr="00357241" w:rsidRDefault="007A71F0" w:rsidP="007A71F0">
            <w:pPr>
              <w:rPr>
                <w:rFonts w:ascii="Calibri" w:hAnsi="Calibri"/>
                <w:b/>
                <w:u w:val="single"/>
              </w:rPr>
            </w:pPr>
            <w:r w:rsidRPr="00357241">
              <w:rPr>
                <w:rFonts w:ascii="Calibri" w:hAnsi="Calibri"/>
                <w:b/>
                <w:u w:val="single"/>
              </w:rPr>
              <w:t>Class website and Edmodo:</w:t>
            </w:r>
          </w:p>
          <w:p w:rsidR="007A71F0" w:rsidRPr="00357241" w:rsidRDefault="007A71F0" w:rsidP="007A71F0">
            <w:pPr>
              <w:rPr>
                <w:rFonts w:ascii="Calibri" w:hAnsi="Calibri"/>
              </w:rPr>
            </w:pPr>
            <w:r w:rsidRPr="00357241">
              <w:rPr>
                <w:rFonts w:ascii="Calibri" w:hAnsi="Calibri"/>
              </w:rPr>
              <w:t>Please bookmark our class website on your computer</w:t>
            </w:r>
            <w:r w:rsidR="00A321CE">
              <w:rPr>
                <w:rFonts w:ascii="Calibri" w:hAnsi="Calibri"/>
              </w:rPr>
              <w:t xml:space="preserve">.  </w:t>
            </w:r>
            <w:r w:rsidRPr="00357241">
              <w:rPr>
                <w:rFonts w:ascii="Calibri" w:hAnsi="Calibri"/>
              </w:rPr>
              <w:t xml:space="preserve">I will post homework </w:t>
            </w:r>
            <w:r w:rsidR="00A321CE">
              <w:rPr>
                <w:rFonts w:ascii="Calibri" w:hAnsi="Calibri"/>
              </w:rPr>
              <w:t>the</w:t>
            </w:r>
            <w:r w:rsidRPr="00357241">
              <w:rPr>
                <w:rFonts w:ascii="Calibri" w:hAnsi="Calibri"/>
              </w:rPr>
              <w:t xml:space="preserve"> website, so if your student is absent, or if there is confusion about what needs to be done, you will have resources at home.  </w:t>
            </w:r>
          </w:p>
          <w:p w:rsidR="007A71F0" w:rsidRPr="00357241" w:rsidRDefault="007A71F0" w:rsidP="007A71F0">
            <w:pPr>
              <w:rPr>
                <w:rFonts w:ascii="Calibri" w:hAnsi="Calibri"/>
              </w:rPr>
            </w:pPr>
            <w:r w:rsidRPr="00357241">
              <w:rPr>
                <w:rFonts w:ascii="Calibri" w:hAnsi="Calibri"/>
                <w:b/>
                <w:u w:val="single"/>
              </w:rPr>
              <w:t>Make-Up Work:</w:t>
            </w:r>
          </w:p>
          <w:p w:rsidR="007A71F0" w:rsidRPr="00357241" w:rsidRDefault="007A71F0" w:rsidP="007A71F0">
            <w:pPr>
              <w:rPr>
                <w:rFonts w:ascii="Calibri" w:hAnsi="Calibri"/>
                <w:b/>
              </w:rPr>
            </w:pPr>
            <w:r w:rsidRPr="00357241">
              <w:rPr>
                <w:rFonts w:ascii="Calibri" w:hAnsi="Calibri"/>
                <w:b/>
              </w:rPr>
              <w:t xml:space="preserve">In the event of an excused absence, students get the number of days they were excused, plus one, to make up their missing work.  </w:t>
            </w:r>
            <w:r w:rsidRPr="00357241">
              <w:rPr>
                <w:rFonts w:ascii="Calibri" w:hAnsi="Calibri"/>
              </w:rPr>
              <w:t xml:space="preserve">(For example, if your student absent and excused for two days, he or she gets three days to make up the work.)  </w:t>
            </w:r>
            <w:r w:rsidRPr="00357241">
              <w:rPr>
                <w:rFonts w:ascii="Calibri" w:hAnsi="Calibri"/>
                <w:i/>
              </w:rPr>
              <w:t xml:space="preserve">Be sure to write “Absent” at the top of any make-up work. </w:t>
            </w:r>
            <w:r w:rsidRPr="00357241">
              <w:rPr>
                <w:rFonts w:ascii="Calibri" w:hAnsi="Calibri"/>
              </w:rPr>
              <w:t xml:space="preserve">In the event of any absence, students do not necessarily get extra time to work on long-term projects (such as essays) that were assigned prior to their absence.  These projects will be due upon the student’s return.  </w:t>
            </w:r>
            <w:r w:rsidRPr="00357241">
              <w:rPr>
                <w:rFonts w:ascii="Calibri" w:hAnsi="Calibri"/>
                <w:b/>
              </w:rPr>
              <w:t>It is the STUDENT’S RESPONSIBILITY to obtain any necessary make-up work immediately upon his or her return</w:t>
            </w:r>
          </w:p>
          <w:p w:rsidR="00020334" w:rsidRPr="00357241" w:rsidRDefault="00020334" w:rsidP="007A71F0">
            <w:pPr>
              <w:rPr>
                <w:rFonts w:ascii="Calibri" w:hAnsi="Calibri"/>
                <w:b/>
                <w:u w:val="single"/>
              </w:rPr>
            </w:pPr>
            <w:r w:rsidRPr="00357241">
              <w:rPr>
                <w:rFonts w:ascii="Calibri" w:hAnsi="Calibri"/>
                <w:b/>
                <w:u w:val="single"/>
              </w:rPr>
              <w:t>Late Work:</w:t>
            </w:r>
          </w:p>
          <w:p w:rsidR="00020334" w:rsidRPr="00357241" w:rsidRDefault="00020334" w:rsidP="00020334">
            <w:pPr>
              <w:rPr>
                <w:rFonts w:ascii="Calibri" w:hAnsi="Calibri"/>
                <w:b/>
              </w:rPr>
            </w:pPr>
            <w:r w:rsidRPr="00357241">
              <w:rPr>
                <w:rFonts w:ascii="Calibri" w:hAnsi="Calibri"/>
              </w:rPr>
              <w:t xml:space="preserve">Any work that is turned in after the deadline stated in class is considered late.  It is my firm belief that students at the high school level need to take ownership of their education and exercise a high level of personal responsibility.  For that reason, I will only accept late work if the student </w:t>
            </w:r>
            <w:r w:rsidRPr="00357241">
              <w:rPr>
                <w:rFonts w:ascii="Calibri" w:hAnsi="Calibri"/>
              </w:rPr>
              <w:lastRenderedPageBreak/>
              <w:t xml:space="preserve">fills out and has his parents sign a </w:t>
            </w:r>
            <w:r w:rsidRPr="00357241">
              <w:rPr>
                <w:rFonts w:ascii="Calibri" w:hAnsi="Calibri"/>
                <w:b/>
              </w:rPr>
              <w:t>Late Work Slip</w:t>
            </w:r>
            <w:r w:rsidRPr="00357241">
              <w:rPr>
                <w:rFonts w:ascii="Calibri" w:hAnsi="Calibri"/>
              </w:rPr>
              <w:t xml:space="preserve">.  This must be attached to the late assignment, and can be turned in no later than the next day. </w:t>
            </w:r>
            <w:r w:rsidR="004A3370" w:rsidRPr="00357241">
              <w:rPr>
                <w:rFonts w:ascii="Calibri" w:hAnsi="Calibri"/>
              </w:rPr>
              <w:t xml:space="preserve"> If this procedure is followed, the student will receive full credit for the work.</w:t>
            </w:r>
          </w:p>
          <w:p w:rsidR="007A71F0" w:rsidRPr="00357241" w:rsidRDefault="007A71F0" w:rsidP="007A71F0">
            <w:pPr>
              <w:rPr>
                <w:rFonts w:ascii="Calibri" w:hAnsi="Calibri"/>
                <w:u w:val="single"/>
              </w:rPr>
            </w:pPr>
            <w:r w:rsidRPr="00357241">
              <w:rPr>
                <w:rFonts w:ascii="Calibri" w:hAnsi="Calibri"/>
                <w:b/>
                <w:u w:val="single"/>
              </w:rPr>
              <w:t>Homework</w:t>
            </w:r>
            <w:r w:rsidRPr="00357241">
              <w:rPr>
                <w:rFonts w:ascii="Calibri" w:hAnsi="Calibri"/>
                <w:u w:val="single"/>
              </w:rPr>
              <w:t>:</w:t>
            </w:r>
          </w:p>
          <w:p w:rsidR="007A71F0" w:rsidRPr="00357241" w:rsidRDefault="007A71F0" w:rsidP="007A71F0">
            <w:pPr>
              <w:rPr>
                <w:rFonts w:ascii="Calibri" w:hAnsi="Calibri"/>
              </w:rPr>
            </w:pPr>
            <w:r w:rsidRPr="00357241">
              <w:rPr>
                <w:rFonts w:ascii="Calibri" w:hAnsi="Calibri"/>
              </w:rPr>
              <w:t>Stude</w:t>
            </w:r>
            <w:r w:rsidR="00735A79">
              <w:rPr>
                <w:rFonts w:ascii="Calibri" w:hAnsi="Calibri"/>
              </w:rPr>
              <w:t>nts can expect an average of 4</w:t>
            </w:r>
            <w:r w:rsidRPr="00357241">
              <w:rPr>
                <w:rFonts w:ascii="Calibri" w:hAnsi="Calibri"/>
              </w:rPr>
              <w:t xml:space="preserve"> homework assignments each</w:t>
            </w:r>
            <w:r w:rsidR="00735A79">
              <w:rPr>
                <w:rFonts w:ascii="Calibri" w:hAnsi="Calibri"/>
              </w:rPr>
              <w:t xml:space="preserve"> week, including class readings and writing daily in their writing notebook.</w:t>
            </w:r>
            <w:r w:rsidRPr="00357241">
              <w:rPr>
                <w:rFonts w:ascii="Calibri" w:hAnsi="Calibri"/>
              </w:rPr>
              <w:t xml:space="preserve">  Additionally, they should consistently be completing any independent reading assignments.  Generally, small homework assignments are due the day after they are assigned.  Larger papers and projects can be du</w:t>
            </w:r>
            <w:r w:rsidR="00357241" w:rsidRPr="00357241">
              <w:rPr>
                <w:rFonts w:ascii="Calibri" w:hAnsi="Calibri"/>
              </w:rPr>
              <w:t>e anywhere from one week to three</w:t>
            </w:r>
            <w:r w:rsidRPr="00357241">
              <w:rPr>
                <w:rFonts w:ascii="Calibri" w:hAnsi="Calibri"/>
              </w:rPr>
              <w:t xml:space="preserve"> weeks after the date they are assigned.  </w:t>
            </w:r>
            <w:r w:rsidR="00735A79">
              <w:rPr>
                <w:rFonts w:ascii="Calibri" w:hAnsi="Calibri"/>
              </w:rPr>
              <w:t xml:space="preserve">I will check the writing notebook weekly.  </w:t>
            </w:r>
            <w:r w:rsidRPr="00357241">
              <w:rPr>
                <w:rFonts w:ascii="Calibri" w:hAnsi="Calibri"/>
              </w:rPr>
              <w:t>The bottom line is, if there is not a specific homework assignment, your student should be reading an</w:t>
            </w:r>
            <w:r w:rsidR="00735A79">
              <w:rPr>
                <w:rFonts w:ascii="Calibri" w:hAnsi="Calibri"/>
              </w:rPr>
              <w:t xml:space="preserve"> independent book at home and writing in his writing notebook.</w:t>
            </w:r>
            <w:r w:rsidRPr="00357241">
              <w:rPr>
                <w:rFonts w:ascii="Calibri" w:hAnsi="Calibri"/>
              </w:rPr>
              <w:t xml:space="preserve">  Aim for 20-30 minutes of reading a day. </w:t>
            </w:r>
          </w:p>
          <w:p w:rsidR="007A71F0" w:rsidRPr="00357241" w:rsidRDefault="007A71F0" w:rsidP="007A71F0">
            <w:pPr>
              <w:rPr>
                <w:rFonts w:ascii="Calibri" w:hAnsi="Calibri"/>
                <w:b/>
                <w:u w:val="single"/>
              </w:rPr>
            </w:pPr>
            <w:r w:rsidRPr="00357241">
              <w:rPr>
                <w:rFonts w:ascii="Calibri" w:hAnsi="Calibri"/>
                <w:b/>
                <w:u w:val="single"/>
              </w:rPr>
              <w:t>Class Materials:</w:t>
            </w:r>
          </w:p>
          <w:p w:rsidR="007A71F0" w:rsidRPr="00357241" w:rsidRDefault="007A71F0" w:rsidP="007A71F0">
            <w:pPr>
              <w:rPr>
                <w:rFonts w:ascii="Calibri" w:hAnsi="Calibri"/>
              </w:rPr>
            </w:pPr>
            <w:r w:rsidRPr="00357241">
              <w:rPr>
                <w:rFonts w:ascii="Calibri" w:hAnsi="Calibri"/>
              </w:rPr>
              <w:t>Students should have the following materials for this class:</w:t>
            </w:r>
          </w:p>
          <w:p w:rsidR="007A71F0" w:rsidRPr="00357241" w:rsidRDefault="00020334" w:rsidP="00357241">
            <w:pPr>
              <w:pStyle w:val="ListParagraph"/>
              <w:numPr>
                <w:ilvl w:val="0"/>
                <w:numId w:val="8"/>
              </w:numPr>
              <w:rPr>
                <w:rFonts w:ascii="Calibri" w:hAnsi="Calibri"/>
              </w:rPr>
            </w:pPr>
            <w:r w:rsidRPr="00357241">
              <w:rPr>
                <w:rFonts w:ascii="Calibri" w:hAnsi="Calibri"/>
              </w:rPr>
              <w:t>A binder, or a dedicated binder section for English</w:t>
            </w:r>
          </w:p>
          <w:p w:rsidR="00020334" w:rsidRPr="00357241" w:rsidRDefault="00020334" w:rsidP="00357241">
            <w:pPr>
              <w:pStyle w:val="ListParagraph"/>
              <w:numPr>
                <w:ilvl w:val="0"/>
                <w:numId w:val="8"/>
              </w:numPr>
              <w:rPr>
                <w:rFonts w:ascii="Calibri" w:hAnsi="Calibri"/>
              </w:rPr>
            </w:pPr>
            <w:r w:rsidRPr="00357241">
              <w:rPr>
                <w:rFonts w:ascii="Calibri" w:hAnsi="Calibri"/>
              </w:rPr>
              <w:t>A three subject notebook, divided as follows (Class notes, vocabulary, journal)</w:t>
            </w:r>
          </w:p>
          <w:p w:rsidR="00020334" w:rsidRPr="00357241" w:rsidRDefault="00020334" w:rsidP="00357241">
            <w:pPr>
              <w:pStyle w:val="ListParagraph"/>
              <w:numPr>
                <w:ilvl w:val="0"/>
                <w:numId w:val="8"/>
              </w:numPr>
              <w:rPr>
                <w:rFonts w:ascii="Calibri" w:hAnsi="Calibri"/>
              </w:rPr>
            </w:pPr>
            <w:r w:rsidRPr="00357241">
              <w:rPr>
                <w:rFonts w:ascii="Calibri" w:hAnsi="Calibri"/>
              </w:rPr>
              <w:t>Post-it notes</w:t>
            </w:r>
          </w:p>
          <w:p w:rsidR="00020334" w:rsidRPr="00357241" w:rsidRDefault="00020334" w:rsidP="00357241">
            <w:pPr>
              <w:pStyle w:val="ListParagraph"/>
              <w:numPr>
                <w:ilvl w:val="0"/>
                <w:numId w:val="8"/>
              </w:numPr>
              <w:rPr>
                <w:rFonts w:ascii="Calibri" w:hAnsi="Calibri"/>
              </w:rPr>
            </w:pPr>
            <w:r w:rsidRPr="00357241">
              <w:rPr>
                <w:rFonts w:ascii="Calibri" w:hAnsi="Calibri"/>
              </w:rPr>
              <w:t>Notebook paper</w:t>
            </w:r>
          </w:p>
          <w:p w:rsidR="00020334" w:rsidRPr="00357241" w:rsidRDefault="00020334" w:rsidP="00357241">
            <w:pPr>
              <w:pStyle w:val="ListParagraph"/>
              <w:numPr>
                <w:ilvl w:val="0"/>
                <w:numId w:val="8"/>
              </w:numPr>
              <w:rPr>
                <w:rFonts w:ascii="Calibri" w:hAnsi="Calibri"/>
              </w:rPr>
            </w:pPr>
            <w:r w:rsidRPr="00357241">
              <w:rPr>
                <w:rFonts w:ascii="Calibri" w:hAnsi="Calibri"/>
              </w:rPr>
              <w:t>Highlighters</w:t>
            </w:r>
          </w:p>
          <w:p w:rsidR="00020334" w:rsidRDefault="00020334" w:rsidP="00357241">
            <w:pPr>
              <w:pStyle w:val="ListParagraph"/>
              <w:numPr>
                <w:ilvl w:val="0"/>
                <w:numId w:val="8"/>
              </w:numPr>
              <w:rPr>
                <w:rFonts w:ascii="Calibri" w:hAnsi="Calibri"/>
              </w:rPr>
            </w:pPr>
            <w:r w:rsidRPr="00357241">
              <w:rPr>
                <w:rFonts w:ascii="Calibri" w:hAnsi="Calibri"/>
              </w:rPr>
              <w:t xml:space="preserve">Pens (blue or black) or pencils </w:t>
            </w:r>
          </w:p>
          <w:p w:rsidR="00735A79" w:rsidRPr="00357241" w:rsidRDefault="00735A79" w:rsidP="00357241">
            <w:pPr>
              <w:pStyle w:val="ListParagraph"/>
              <w:numPr>
                <w:ilvl w:val="0"/>
                <w:numId w:val="8"/>
              </w:numPr>
              <w:rPr>
                <w:rFonts w:ascii="Calibri" w:hAnsi="Calibri"/>
              </w:rPr>
            </w:pPr>
            <w:r>
              <w:rPr>
                <w:rFonts w:ascii="Calibri" w:hAnsi="Calibri"/>
              </w:rPr>
              <w:t>1 Jar of play-doh</w:t>
            </w:r>
          </w:p>
          <w:p w:rsidR="0048208A" w:rsidRPr="00357241" w:rsidRDefault="004A3370" w:rsidP="001C3533">
            <w:pPr>
              <w:rPr>
                <w:rFonts w:cstheme="minorHAnsi"/>
                <w:b/>
                <w:u w:val="single"/>
              </w:rPr>
            </w:pPr>
            <w:r w:rsidRPr="00357241">
              <w:rPr>
                <w:rFonts w:cstheme="minorHAnsi"/>
                <w:b/>
                <w:u w:val="single"/>
              </w:rPr>
              <w:t>Behavior Expectations:</w:t>
            </w:r>
          </w:p>
          <w:p w:rsidR="00A0004F" w:rsidRPr="00357241" w:rsidRDefault="00A0004F" w:rsidP="00357241">
            <w:pPr>
              <w:numPr>
                <w:ilvl w:val="0"/>
                <w:numId w:val="8"/>
              </w:numPr>
              <w:rPr>
                <w:rFonts w:ascii="Calibri" w:hAnsi="Calibri"/>
                <w:b/>
              </w:rPr>
            </w:pPr>
            <w:r w:rsidRPr="00357241">
              <w:rPr>
                <w:rFonts w:ascii="Calibri" w:hAnsi="Calibri"/>
              </w:rPr>
              <w:t xml:space="preserve">Your purpose here is to work toward your graduation and high school diploma, which will open many doors for you. I am here to help you do this.  In order for us to be successful, I will come to class prepared to teach enthusiastically.  You should come to class motivated and ready to learn something new every day.  </w:t>
            </w:r>
            <w:r w:rsidRPr="00357241">
              <w:rPr>
                <w:rFonts w:ascii="Calibri" w:hAnsi="Calibri"/>
                <w:b/>
              </w:rPr>
              <w:t>Every class period counts on your journey to graduation!</w:t>
            </w:r>
          </w:p>
          <w:p w:rsidR="004A3370" w:rsidRPr="00357241" w:rsidRDefault="00A0004F" w:rsidP="00357241">
            <w:pPr>
              <w:pStyle w:val="ListParagraph"/>
              <w:numPr>
                <w:ilvl w:val="0"/>
                <w:numId w:val="8"/>
              </w:numPr>
              <w:rPr>
                <w:rFonts w:cstheme="minorHAnsi"/>
              </w:rPr>
            </w:pPr>
            <w:r w:rsidRPr="00357241">
              <w:rPr>
                <w:rFonts w:ascii="Calibri" w:hAnsi="Calibri"/>
              </w:rPr>
              <w:t xml:space="preserve">All students have a right to learn in a respectful and safe environment.  In order for our classroom to be safe and comfortable for everyone every day, </w:t>
            </w:r>
            <w:r w:rsidR="00357241" w:rsidRPr="00357241">
              <w:rPr>
                <w:rFonts w:ascii="Calibri" w:hAnsi="Calibri"/>
              </w:rPr>
              <w:t>we</w:t>
            </w:r>
            <w:r w:rsidRPr="00357241">
              <w:rPr>
                <w:rFonts w:ascii="Calibri" w:hAnsi="Calibri"/>
              </w:rPr>
              <w:t xml:space="preserve"> must all tre</w:t>
            </w:r>
            <w:r w:rsidR="00357241" w:rsidRPr="00357241">
              <w:rPr>
                <w:rFonts w:ascii="Calibri" w:hAnsi="Calibri"/>
              </w:rPr>
              <w:t xml:space="preserve">at each other with respect.  </w:t>
            </w:r>
          </w:p>
          <w:p w:rsidR="00357241" w:rsidRPr="00B42AF7" w:rsidRDefault="00357241" w:rsidP="00357241">
            <w:pPr>
              <w:numPr>
                <w:ilvl w:val="0"/>
                <w:numId w:val="8"/>
              </w:numPr>
              <w:rPr>
                <w:rFonts w:ascii="Calibri" w:hAnsi="Calibri"/>
              </w:rPr>
            </w:pPr>
            <w:r w:rsidRPr="00357241">
              <w:rPr>
                <w:rFonts w:ascii="Calibri" w:hAnsi="Calibri"/>
              </w:rPr>
              <w:t xml:space="preserve">You may only eat and drink in class if you clean up after yourself, </w:t>
            </w:r>
            <w:r w:rsidRPr="00357241">
              <w:rPr>
                <w:rFonts w:ascii="Calibri" w:hAnsi="Calibri"/>
                <w:b/>
              </w:rPr>
              <w:t>and if you are on time.  If you are tardy, and you bring food and/or drink, you will not be allowed to consume them.</w:t>
            </w:r>
          </w:p>
          <w:p w:rsidR="00B42AF7" w:rsidRPr="00357241" w:rsidRDefault="00B42AF7" w:rsidP="00357241">
            <w:pPr>
              <w:numPr>
                <w:ilvl w:val="0"/>
                <w:numId w:val="8"/>
              </w:numPr>
              <w:rPr>
                <w:rFonts w:ascii="Calibri" w:hAnsi="Calibri"/>
              </w:rPr>
            </w:pPr>
            <w:r>
              <w:rPr>
                <w:rFonts w:ascii="Calibri" w:hAnsi="Calibri"/>
              </w:rPr>
              <w:t xml:space="preserve">Cell phones and electronic devices can only be out when I give you permission to have them out.  </w:t>
            </w:r>
            <w:r w:rsidR="00A321CE">
              <w:rPr>
                <w:rFonts w:ascii="Calibri" w:hAnsi="Calibri"/>
              </w:rPr>
              <w:t>The rest of the time, they should be in the plastic boxes on your table.</w:t>
            </w:r>
            <w:r>
              <w:rPr>
                <w:rFonts w:ascii="Calibri" w:hAnsi="Calibri"/>
              </w:rPr>
              <w:t xml:space="preserve"> If this becomes an ongoing issue, I you will need to retrieve your electronic devices from the Student Relations office.</w:t>
            </w:r>
          </w:p>
          <w:p w:rsidR="00357241" w:rsidRPr="00357241" w:rsidRDefault="00357241" w:rsidP="00357241">
            <w:pPr>
              <w:numPr>
                <w:ilvl w:val="0"/>
                <w:numId w:val="8"/>
              </w:numPr>
              <w:rPr>
                <w:rFonts w:ascii="Calibri" w:hAnsi="Calibri"/>
              </w:rPr>
            </w:pPr>
            <w:r w:rsidRPr="00357241">
              <w:rPr>
                <w:rFonts w:ascii="Calibri" w:hAnsi="Calibri"/>
              </w:rPr>
              <w:t>I expect high standards of honesty and ethical behavior from you and myself.  ANYONE who behaves in an unethical way will experience the appropriate consequences, which may include no credit on assignments that are copied or plagiarized, as well as discipline referrals.  As you work on homework and projects, ask me if you have any questions about the correct way to cite your sources.  In short, do your own thinking and your own work.</w:t>
            </w:r>
          </w:p>
          <w:p w:rsidR="00357241" w:rsidRPr="00357241" w:rsidRDefault="00357241" w:rsidP="00357241">
            <w:pPr>
              <w:numPr>
                <w:ilvl w:val="0"/>
                <w:numId w:val="8"/>
              </w:numPr>
              <w:rPr>
                <w:rFonts w:ascii="Calibri" w:hAnsi="Calibri"/>
              </w:rPr>
            </w:pPr>
            <w:r w:rsidRPr="00357241">
              <w:rPr>
                <w:rFonts w:ascii="Calibri" w:hAnsi="Calibri"/>
              </w:rPr>
              <w:t>It is very important that you communicate with me about any issues that may impact your success.  Please visit during</w:t>
            </w:r>
            <w:r w:rsidR="00BF0188">
              <w:rPr>
                <w:rFonts w:ascii="Calibri" w:hAnsi="Calibri"/>
              </w:rPr>
              <w:t xml:space="preserve"> lunch time or Norse Success.</w:t>
            </w:r>
          </w:p>
          <w:p w:rsidR="00357241" w:rsidRPr="00357241" w:rsidRDefault="00357241" w:rsidP="00357241">
            <w:pPr>
              <w:ind w:left="360"/>
              <w:rPr>
                <w:rFonts w:cstheme="minorHAnsi"/>
                <w:sz w:val="20"/>
                <w:szCs w:val="20"/>
              </w:rPr>
            </w:pPr>
          </w:p>
        </w:tc>
      </w:tr>
    </w:tbl>
    <w:p w:rsidR="00334458" w:rsidRPr="00BA3244" w:rsidRDefault="00334458"/>
    <w:p w:rsidR="000C2956" w:rsidRDefault="000C2956"/>
    <w:sectPr w:rsidR="000C2956" w:rsidSect="00031188">
      <w:headerReference w:type="default" r:id="rId12"/>
      <w:pgSz w:w="15840" w:h="12240" w:orient="landscape"/>
      <w:pgMar w:top="1080" w:right="180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2A" w:rsidRDefault="00BD5D2A" w:rsidP="00AA1B6B">
      <w:r>
        <w:separator/>
      </w:r>
    </w:p>
  </w:endnote>
  <w:endnote w:type="continuationSeparator" w:id="0">
    <w:p w:rsidR="00BD5D2A" w:rsidRDefault="00BD5D2A"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2A" w:rsidRDefault="00BD5D2A" w:rsidP="00AA1B6B">
      <w:r>
        <w:separator/>
      </w:r>
    </w:p>
  </w:footnote>
  <w:footnote w:type="continuationSeparator" w:id="0">
    <w:p w:rsidR="00BD5D2A" w:rsidRDefault="00BD5D2A"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246D5E5" wp14:editId="628875B3">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18471E" wp14:editId="466D23BD">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6E24"/>
    <w:multiLevelType w:val="hybridMultilevel"/>
    <w:tmpl w:val="7AE2A70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10FD6863"/>
    <w:multiLevelType w:val="hybridMultilevel"/>
    <w:tmpl w:val="FC9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49BC"/>
    <w:multiLevelType w:val="hybridMultilevel"/>
    <w:tmpl w:val="02A0FBD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23D722D9"/>
    <w:multiLevelType w:val="hybridMultilevel"/>
    <w:tmpl w:val="3DDEC4B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461E9"/>
    <w:multiLevelType w:val="hybridMultilevel"/>
    <w:tmpl w:val="D3FAAEB4"/>
    <w:lvl w:ilvl="0" w:tplc="14F2F1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57E6F"/>
    <w:multiLevelType w:val="hybridMultilevel"/>
    <w:tmpl w:val="65F25A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15:restartNumberingAfterBreak="0">
    <w:nsid w:val="7AA73E62"/>
    <w:multiLevelType w:val="hybridMultilevel"/>
    <w:tmpl w:val="E82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20334"/>
    <w:rsid w:val="00031188"/>
    <w:rsid w:val="000C2956"/>
    <w:rsid w:val="000D7727"/>
    <w:rsid w:val="00114E60"/>
    <w:rsid w:val="00130D16"/>
    <w:rsid w:val="001774C4"/>
    <w:rsid w:val="001B4331"/>
    <w:rsid w:val="001D02DE"/>
    <w:rsid w:val="001F2D97"/>
    <w:rsid w:val="001F36A4"/>
    <w:rsid w:val="00296D6F"/>
    <w:rsid w:val="002A6DBB"/>
    <w:rsid w:val="002B634C"/>
    <w:rsid w:val="00313CCA"/>
    <w:rsid w:val="00334458"/>
    <w:rsid w:val="00334DC2"/>
    <w:rsid w:val="003372A6"/>
    <w:rsid w:val="00357241"/>
    <w:rsid w:val="0037714E"/>
    <w:rsid w:val="003C51E9"/>
    <w:rsid w:val="003E2265"/>
    <w:rsid w:val="0048208A"/>
    <w:rsid w:val="004A1A06"/>
    <w:rsid w:val="004A3370"/>
    <w:rsid w:val="004B6B2F"/>
    <w:rsid w:val="004E7B94"/>
    <w:rsid w:val="005073D3"/>
    <w:rsid w:val="00570649"/>
    <w:rsid w:val="00585FF2"/>
    <w:rsid w:val="005E1321"/>
    <w:rsid w:val="0062255C"/>
    <w:rsid w:val="00630FA8"/>
    <w:rsid w:val="00654580"/>
    <w:rsid w:val="00664BCC"/>
    <w:rsid w:val="00696C88"/>
    <w:rsid w:val="006A14C8"/>
    <w:rsid w:val="00735A79"/>
    <w:rsid w:val="007A71F0"/>
    <w:rsid w:val="007B5691"/>
    <w:rsid w:val="007D2E64"/>
    <w:rsid w:val="007F1B9D"/>
    <w:rsid w:val="008049D2"/>
    <w:rsid w:val="00806927"/>
    <w:rsid w:val="008139FF"/>
    <w:rsid w:val="00870C94"/>
    <w:rsid w:val="008743AB"/>
    <w:rsid w:val="008E5670"/>
    <w:rsid w:val="008F3CB0"/>
    <w:rsid w:val="00910D90"/>
    <w:rsid w:val="009A7762"/>
    <w:rsid w:val="00A0004F"/>
    <w:rsid w:val="00A01E41"/>
    <w:rsid w:val="00A321CE"/>
    <w:rsid w:val="00A5101C"/>
    <w:rsid w:val="00A523E0"/>
    <w:rsid w:val="00A84AF8"/>
    <w:rsid w:val="00AA1B6B"/>
    <w:rsid w:val="00AA5F6A"/>
    <w:rsid w:val="00AE15BF"/>
    <w:rsid w:val="00B0089B"/>
    <w:rsid w:val="00B42AF7"/>
    <w:rsid w:val="00B60605"/>
    <w:rsid w:val="00B74CB9"/>
    <w:rsid w:val="00B930F8"/>
    <w:rsid w:val="00BA3244"/>
    <w:rsid w:val="00BA6E62"/>
    <w:rsid w:val="00BD5D2A"/>
    <w:rsid w:val="00BF0188"/>
    <w:rsid w:val="00C110EA"/>
    <w:rsid w:val="00C8073C"/>
    <w:rsid w:val="00C93E07"/>
    <w:rsid w:val="00CB4D6A"/>
    <w:rsid w:val="00CE0630"/>
    <w:rsid w:val="00CE711F"/>
    <w:rsid w:val="00D4493D"/>
    <w:rsid w:val="00D46F70"/>
    <w:rsid w:val="00D51BFC"/>
    <w:rsid w:val="00D7735A"/>
    <w:rsid w:val="00DA571E"/>
    <w:rsid w:val="00DA7133"/>
    <w:rsid w:val="00E21871"/>
    <w:rsid w:val="00E67059"/>
    <w:rsid w:val="00EB1C2B"/>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D1CA83-DFAB-4A32-B5A8-E75D0110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 w:type="character" w:customStyle="1" w:styleId="apple-converted-space">
    <w:name w:val="apple-converted-space"/>
    <w:basedOn w:val="DefaultParagraphFont"/>
    <w:rsid w:val="00B7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 w:id="20995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rocksus.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ingfamily.com/family/Media.aspx" TargetMode="External"/><Relationship Id="rId5" Type="http://schemas.openxmlformats.org/officeDocument/2006/relationships/webSettings" Target="webSettings.xml"/><Relationship Id="rId10" Type="http://schemas.openxmlformats.org/officeDocument/2006/relationships/hyperlink" Target="http://www.goodreads.com"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C571-A00D-4540-890C-B16A21D0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Clinton</cp:lastModifiedBy>
  <cp:revision>2</cp:revision>
  <cp:lastPrinted>2011-11-03T17:03:00Z</cp:lastPrinted>
  <dcterms:created xsi:type="dcterms:W3CDTF">2016-08-17T20:40:00Z</dcterms:created>
  <dcterms:modified xsi:type="dcterms:W3CDTF">2016-08-17T20:40:00Z</dcterms:modified>
</cp:coreProperties>
</file>